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center"/>
        <w:textAlignment w:val="auto"/>
        <w:rPr>
          <w:rStyle w:val="7"/>
          <w:rFonts w:hint="eastAsia" w:ascii="方正小标宋_GBK" w:hAnsi="方正小标宋_GBK" w:eastAsia="方正小标宋_GBK" w:cs="方正小标宋_GBK"/>
          <w:b/>
          <w:bCs w:val="0"/>
          <w:color w:val="000000"/>
          <w:sz w:val="44"/>
          <w:szCs w:val="44"/>
        </w:rPr>
      </w:pPr>
      <w:r>
        <w:rPr>
          <w:rStyle w:val="7"/>
          <w:rFonts w:hint="eastAsia" w:ascii="方正小标宋简体" w:hAnsi="方正小标宋简体" w:eastAsia="方正小标宋简体" w:cs="方正小标宋简体"/>
          <w:b/>
          <w:bCs w:val="0"/>
          <w:color w:val="000000"/>
          <w:sz w:val="44"/>
          <w:szCs w:val="44"/>
        </w:rPr>
        <w:t>2</w:t>
      </w:r>
      <w:r>
        <w:rPr>
          <w:rStyle w:val="7"/>
          <w:rFonts w:hint="eastAsia" w:ascii="方正小标宋简体" w:hAnsi="方正小标宋简体" w:eastAsia="方正小标宋简体" w:cs="方正小标宋简体"/>
          <w:b/>
          <w:bCs w:val="0"/>
          <w:color w:val="000000"/>
          <w:sz w:val="44"/>
          <w:szCs w:val="44"/>
          <w:lang w:val="en-US" w:eastAsia="zh-CN"/>
        </w:rPr>
        <w:t>2</w:t>
      </w:r>
      <w:r>
        <w:rPr>
          <w:rStyle w:val="7"/>
          <w:rFonts w:hint="eastAsia" w:ascii="方正小标宋简体" w:hAnsi="方正小标宋简体" w:eastAsia="方正小标宋简体" w:cs="方正小标宋简体"/>
          <w:b/>
          <w:bCs w:val="0"/>
          <w:color w:val="000000"/>
          <w:sz w:val="44"/>
          <w:szCs w:val="44"/>
        </w:rPr>
        <w:t>-2</w:t>
      </w:r>
      <w:r>
        <w:rPr>
          <w:rStyle w:val="7"/>
          <w:rFonts w:hint="eastAsia" w:ascii="方正小标宋简体" w:hAnsi="方正小标宋简体" w:eastAsia="方正小标宋简体" w:cs="方正小标宋简体"/>
          <w:b/>
          <w:bCs w:val="0"/>
          <w:color w:val="000000"/>
          <w:sz w:val="44"/>
          <w:szCs w:val="44"/>
          <w:lang w:val="en-US" w:eastAsia="zh-CN"/>
        </w:rPr>
        <w:t>3高</w:t>
      </w:r>
      <w:bookmarkStart w:id="0" w:name="_GoBack"/>
      <w:bookmarkEnd w:id="0"/>
      <w:r>
        <w:rPr>
          <w:rStyle w:val="7"/>
          <w:rFonts w:hint="eastAsia" w:ascii="方正小标宋简体" w:hAnsi="方正小标宋简体" w:eastAsia="方正小标宋简体" w:cs="方正小标宋简体"/>
          <w:b/>
          <w:bCs w:val="0"/>
          <w:color w:val="000000"/>
          <w:sz w:val="44"/>
          <w:szCs w:val="44"/>
          <w:lang w:val="en-US" w:eastAsia="zh-CN"/>
        </w:rPr>
        <w:t>二上</w:t>
      </w:r>
      <w:r>
        <w:rPr>
          <w:rStyle w:val="7"/>
          <w:rFonts w:hint="eastAsia" w:ascii="方正小标宋简体" w:hAnsi="方正小标宋简体" w:eastAsia="方正小标宋简体" w:cs="方正小标宋简体"/>
          <w:b/>
          <w:bCs w:val="0"/>
          <w:color w:val="000000"/>
          <w:sz w:val="44"/>
          <w:szCs w:val="44"/>
        </w:rPr>
        <w:t>语文组教学教研计划、方案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黑体" w:hAnsi="黑体" w:eastAsia="黑体" w:cs="黑体"/>
          <w:b/>
          <w:bCs w:val="0"/>
          <w:color w:val="000000"/>
          <w:sz w:val="36"/>
          <w:szCs w:val="36"/>
        </w:rPr>
      </w:pPr>
      <w:r>
        <w:rPr>
          <w:rStyle w:val="7"/>
          <w:rFonts w:hint="eastAsia" w:ascii="黑体" w:hAnsi="黑体" w:eastAsia="黑体" w:cs="黑体"/>
          <w:b/>
          <w:bCs w:val="0"/>
          <w:color w:val="000000"/>
          <w:sz w:val="36"/>
          <w:szCs w:val="36"/>
        </w:rPr>
        <w:t>一、学期课标总要求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right="0" w:firstLine="723" w:firstLineChars="20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完成必修下册的教学，全面提高学生的思维能力以及解题能力;讲练结合，夯实基础，为下一阶段的学习做好充分准备。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黑体" w:hAnsi="黑体" w:eastAsia="黑体" w:cs="黑体"/>
          <w:b/>
          <w:bCs w:val="0"/>
          <w:color w:val="000000"/>
          <w:sz w:val="36"/>
          <w:szCs w:val="36"/>
        </w:rPr>
      </w:pPr>
      <w:r>
        <w:rPr>
          <w:rStyle w:val="7"/>
          <w:rFonts w:hint="eastAsia" w:ascii="黑体" w:hAnsi="黑体" w:eastAsia="黑体" w:cs="黑体"/>
          <w:b/>
          <w:bCs w:val="0"/>
          <w:color w:val="000000"/>
          <w:sz w:val="36"/>
          <w:szCs w:val="36"/>
        </w:rPr>
        <w:t>二、学期学科教学目标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firstLine="723" w:firstLineChars="20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全面提高学生的语文素养，正确把握语文教育特点，不断地提高学生正确理解和运用祖国语言文字的能力，重视积累、感悟和熏陶和培养语感，使学生养成良好的语文研究性学习习惯。积极倡导自主、合作、探究的学习方式，加强文言文阅读教学，灵活运用语言文字，强化写作指导，提高口语交际能力，不断地培养学生研究性学习精神，努力开发有活力的语文新课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黑体" w:hAnsi="黑体" w:eastAsia="黑体" w:cs="黑体"/>
          <w:b/>
          <w:bCs w:val="0"/>
          <w:color w:val="000000"/>
          <w:sz w:val="36"/>
          <w:szCs w:val="36"/>
        </w:rPr>
      </w:pPr>
      <w:r>
        <w:rPr>
          <w:rStyle w:val="7"/>
          <w:rFonts w:hint="eastAsia" w:ascii="黑体" w:hAnsi="黑体" w:eastAsia="黑体" w:cs="黑体"/>
          <w:b/>
          <w:bCs w:val="0"/>
          <w:color w:val="000000"/>
          <w:sz w:val="36"/>
          <w:szCs w:val="36"/>
        </w:rPr>
        <w:t>三、教材分析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firstLine="723" w:firstLineChars="200"/>
        <w:jc w:val="both"/>
        <w:textAlignment w:val="auto"/>
        <w:rPr>
          <w:rFonts w:hint="eastAsia" w:ascii="仿宋" w:hAnsi="仿宋" w:eastAsia="仿宋_GB2312" w:cs="仿宋"/>
          <w:b/>
          <w:bCs w:val="0"/>
          <w:color w:val="000000"/>
          <w:sz w:val="36"/>
          <w:szCs w:val="36"/>
        </w:rPr>
      </w:pPr>
      <w:r>
        <w:rPr>
          <w:rFonts w:hint="eastAsia" w:ascii="仿宋" w:hAnsi="仿宋" w:eastAsia="仿宋_GB2312" w:cs="仿宋"/>
          <w:b/>
          <w:bCs w:val="0"/>
          <w:color w:val="000000"/>
          <w:sz w:val="36"/>
          <w:szCs w:val="36"/>
        </w:rPr>
        <w:t>普通高中课程标准实验教科书语文必修下分为阅读鉴赏表达交流梳理探究名着导读四个部分。前 3 个部分纳入课内学习计划，名着导读在课外自主安排。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黑体" w:hAnsi="黑体" w:eastAsia="黑体" w:cs="黑体"/>
          <w:b/>
          <w:bCs w:val="0"/>
          <w:color w:val="000000"/>
          <w:sz w:val="36"/>
          <w:szCs w:val="36"/>
        </w:rPr>
      </w:pPr>
      <w:r>
        <w:rPr>
          <w:rStyle w:val="7"/>
          <w:rFonts w:hint="eastAsia" w:ascii="黑体" w:hAnsi="黑体" w:eastAsia="黑体" w:cs="黑体"/>
          <w:b/>
          <w:bCs w:val="0"/>
          <w:color w:val="000000"/>
          <w:sz w:val="36"/>
          <w:szCs w:val="36"/>
        </w:rPr>
        <w:t>四、班级学生学情分析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firstLine="723" w:firstLineChars="200"/>
        <w:jc w:val="both"/>
        <w:textAlignment w:val="auto"/>
        <w:rPr>
          <w:rFonts w:hint="eastAsia" w:ascii="仿宋" w:hAnsi="仿宋" w:eastAsia="仿宋_GB2312" w:cs="仿宋"/>
          <w:b/>
          <w:bCs w:val="0"/>
          <w:color w:val="000000"/>
          <w:sz w:val="36"/>
          <w:szCs w:val="36"/>
        </w:rPr>
      </w:pPr>
      <w:r>
        <w:rPr>
          <w:rFonts w:hint="eastAsia" w:ascii="仿宋" w:hAnsi="仿宋" w:eastAsia="仿宋_GB2312" w:cs="仿宋"/>
          <w:b/>
          <w:bCs w:val="0"/>
          <w:color w:val="000000"/>
          <w:sz w:val="36"/>
          <w:szCs w:val="36"/>
        </w:rPr>
        <w:t>本届高一学生由于入学成绩总体偏低，故情况不容乐观，初中基础普遍不够扎实，阅读能力、分析鉴赏能力及对文章整体感知能力均令人担忧，且有相当一部分学生不重视语文。所以，在对学生全面强化督促的同时，如何抓好基础，强化针对性，有的放矢，探索改进讲与练的方法并努力提高效益，就成为这一阶段教学的重中之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黑体" w:hAnsi="黑体" w:eastAsia="黑体" w:cs="黑体"/>
          <w:b/>
          <w:bCs w:val="0"/>
          <w:color w:val="000000"/>
          <w:sz w:val="36"/>
          <w:szCs w:val="36"/>
        </w:rPr>
      </w:pPr>
      <w:r>
        <w:rPr>
          <w:rStyle w:val="7"/>
          <w:rFonts w:hint="eastAsia" w:ascii="黑体" w:hAnsi="黑体" w:eastAsia="黑体" w:cs="黑体"/>
          <w:b/>
          <w:bCs w:val="0"/>
          <w:color w:val="000000"/>
          <w:sz w:val="36"/>
          <w:szCs w:val="36"/>
        </w:rPr>
        <w:t>五、教学策略及教研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1、认真学习。学习新教材、新课标，明确课标对高一年级的要求;认真钻研新教材，扎扎实实备好课，讲好课，充分发挥课内 40分钟的效力，科学支配时间，注重教学效果。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2、提高备课质量。对每一个单元每一篇课文，都要详细分析教材的重点、难点、基点、疑点，设计好课堂练习，灵活处理教材。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3、作文教学依据教材编写体例，完成教本上的表达交流训练，但又适当超越教材。调动学生参与作文批改与点评，提高批改实效。重视自能作文，要引导学生、要求学生多练笔，教师认真批阅。教师适当做做下水作文，以期评点学生作文时心态主动、亲切，真正挠到痒处。本期拟做大小作文 8~10 次，课外练笔若干。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4、充分利用《国学诵读》扩展学生的阅读面，培养学生自学语文的能力。积极开展周末阅读活动，每周精选较有思想性、篇幅短小的现当代美文和文言短文，提供给学生阅读，，努力通过学生的自身积累和教师的指导，从阅读习惯、语感等多方面提升学生阅读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r>
        <w:rPr>
          <w:rFonts w:hint="eastAsia" w:ascii="仿宋_GB2312" w:hAnsi="仿宋_GB2312" w:eastAsia="仿宋_GB2312" w:cs="仿宋_GB2312"/>
          <w:b/>
          <w:bCs w:val="0"/>
          <w:color w:val="000000"/>
          <w:sz w:val="36"/>
          <w:szCs w:val="36"/>
        </w:rPr>
        <w:t>5、要提倡自主、探究、合作的学习方式。要有计划地引导学生自学，引导他们自主钻研课文，自奋其力，自力得知;要突出研究性学习特点，拓展课堂内容，深化课文理解;要组织合作学习小组，鼓励学生相互切磋，相互讨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color w:val="000000"/>
          <w:sz w:val="36"/>
          <w:szCs w:val="36"/>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_GB2312" w:hAnsi="仿宋_GB2312" w:eastAsia="仿宋_GB2312" w:cs="仿宋_GB2312"/>
          <w:b/>
          <w:bCs w:val="0"/>
          <w:sz w:val="36"/>
          <w:szCs w:val="36"/>
        </w:rPr>
      </w:pPr>
      <w:r>
        <w:rPr>
          <w:rStyle w:val="7"/>
          <w:rFonts w:hint="eastAsia" w:ascii="黑体" w:hAnsi="黑体" w:eastAsia="黑体" w:cs="黑体"/>
          <w:b/>
          <w:bCs w:val="0"/>
          <w:color w:val="000000"/>
          <w:sz w:val="36"/>
          <w:szCs w:val="36"/>
        </w:rPr>
        <w:t>六、教学进度表</w:t>
      </w:r>
    </w:p>
    <w:tbl>
      <w:tblPr>
        <w:tblStyle w:val="5"/>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820"/>
        <w:gridCol w:w="6185"/>
        <w:gridCol w:w="2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rPr>
        <w:tc>
          <w:tcPr>
            <w:tcW w:w="1245"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仿宋_GB2312" w:hAnsi="仿宋_GB2312" w:eastAsia="仿宋_GB2312" w:cs="仿宋_GB2312"/>
                <w:b/>
                <w:bCs w:val="0"/>
                <w:sz w:val="36"/>
                <w:szCs w:val="36"/>
              </w:rPr>
            </w:pPr>
            <w:r>
              <w:rPr>
                <w:rStyle w:val="7"/>
                <w:rFonts w:hint="eastAsia" w:ascii="仿宋_GB2312" w:hAnsi="仿宋_GB2312" w:eastAsia="仿宋_GB2312" w:cs="仿宋_GB2312"/>
                <w:b/>
                <w:bCs w:val="0"/>
                <w:sz w:val="36"/>
                <w:szCs w:val="36"/>
              </w:rPr>
              <w:t>周次</w:t>
            </w:r>
          </w:p>
        </w:tc>
        <w:tc>
          <w:tcPr>
            <w:tcW w:w="4230"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仿宋_GB2312" w:hAnsi="仿宋_GB2312" w:eastAsia="仿宋_GB2312" w:cs="仿宋_GB2312"/>
                <w:b/>
                <w:bCs w:val="0"/>
                <w:sz w:val="36"/>
                <w:szCs w:val="36"/>
              </w:rPr>
            </w:pPr>
            <w:r>
              <w:rPr>
                <w:rStyle w:val="7"/>
                <w:rFonts w:hint="eastAsia" w:ascii="仿宋_GB2312" w:hAnsi="仿宋_GB2312" w:eastAsia="仿宋_GB2312" w:cs="仿宋_GB2312"/>
                <w:b/>
                <w:bCs w:val="0"/>
                <w:sz w:val="36"/>
                <w:szCs w:val="36"/>
              </w:rPr>
              <w:t>教学进度</w:t>
            </w:r>
          </w:p>
        </w:tc>
        <w:tc>
          <w:tcPr>
            <w:tcW w:w="1470"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仿宋_GB2312" w:hAnsi="仿宋_GB2312" w:eastAsia="仿宋_GB2312" w:cs="仿宋_GB2312"/>
                <w:b/>
                <w:bCs w:val="0"/>
                <w:sz w:val="36"/>
                <w:szCs w:val="36"/>
              </w:rPr>
            </w:pPr>
            <w:r>
              <w:rPr>
                <w:rStyle w:val="7"/>
                <w:rFonts w:hint="eastAsia" w:ascii="仿宋_GB2312" w:hAnsi="仿宋_GB2312" w:eastAsia="仿宋_GB2312" w:cs="仿宋_GB2312"/>
                <w:b/>
                <w:bCs w:val="0"/>
                <w:sz w:val="36"/>
                <w:szCs w:val="36"/>
              </w:rPr>
              <w:t>备课节数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8" w:hRule="atLeast"/>
        </w:trPr>
        <w:tc>
          <w:tcPr>
            <w:tcW w:w="1245" w:type="dxa"/>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6"/>
                <w:szCs w:val="36"/>
              </w:rPr>
            </w:pPr>
          </w:p>
        </w:tc>
        <w:tc>
          <w:tcPr>
            <w:tcW w:w="4230" w:type="dxa"/>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6"/>
                <w:szCs w:val="36"/>
              </w:rPr>
            </w:pPr>
          </w:p>
        </w:tc>
        <w:tc>
          <w:tcPr>
            <w:tcW w:w="1470" w:type="dxa"/>
            <w:vMerge w:val="continue"/>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6"/>
                <w:szCs w:val="3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2"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第一周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子路曾皙冉有公西华侍坐/《论语》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齐桓晋文之事/《孟子》</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第二周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庖丁解牛/《庄子》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烛之武退秦师/《左传》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鸿门宴/司马迁</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第三周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鸿门宴/司马迁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《窦娥冤》（节选）/关汉卿</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第四周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《雷雨》（节选）/曹禺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《哈姆莱特》（节选）/莎士比亚</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1"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第五周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青蒿素：人类征服疾病的一小步/屠呦呦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一名物理学家的教育历程/加来道雄</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第六周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中国建筑的特征/梁思成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说“木叶”/林庚</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第七周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考前复习  第一次段考</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第八周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段考试卷讲评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第四单元：信息时代的语文生活</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7"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第九周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在《人民报》创刊纪念会上的演说/马克思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在马克思墓前的讲话/恩格斯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谏逐客书/李斯</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 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与妻书/林觉民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《学写演讲稿》</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第十一周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《祝福》</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第十二周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林教头风雪山神庙/施耐庵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装在套子里的人/契诃夫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变形记（节选）/卡夫卡</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8"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第十三周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段考复习    第二次段考</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5"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第十四周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段考试卷讲评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促织</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3"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第十五周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整本书阅读  《红楼梦》</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第十六周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谏太宗十思疏/魏征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答司马谏议书/王安石</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1"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第十七周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阿房宫赋/杜牧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六国论/苏洵</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5"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第十八周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教材153页任务四作文训练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午练5  周测5讲解</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5"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第十九周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午练六 周测六讲解</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5"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第二十周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考前动员复习</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5"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第二十一周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考前动员复习</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 w:hRule="atLeast"/>
        </w:trPr>
        <w:tc>
          <w:tcPr>
            <w:tcW w:w="124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第二十二周</w:t>
            </w:r>
          </w:p>
        </w:tc>
        <w:tc>
          <w:tcPr>
            <w:tcW w:w="423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期末考试</w:t>
            </w:r>
          </w:p>
        </w:tc>
        <w:tc>
          <w:tcPr>
            <w:tcW w:w="147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6</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360" w:afterAutospacing="0" w:line="600" w:lineRule="exact"/>
        <w:ind w:left="0" w:right="0"/>
        <w:jc w:val="both"/>
        <w:textAlignment w:val="auto"/>
        <w:rPr>
          <w:rFonts w:hint="eastAsia" w:ascii="仿宋" w:hAnsi="仿宋" w:eastAsia="仿宋" w:cs="仿宋"/>
          <w:b/>
          <w:bCs w:val="0"/>
          <w:sz w:val="36"/>
          <w:szCs w:val="36"/>
        </w:rPr>
      </w:pPr>
    </w:p>
    <w:sectPr>
      <w:footerReference r:id="rId3" w:type="default"/>
      <w:pgSz w:w="11906" w:h="16838"/>
      <w:pgMar w:top="198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1N2E1YzllMzUzYmY5NDNjYzU1MzNkN2UwZWZjYTAifQ=="/>
  </w:docVars>
  <w:rsids>
    <w:rsidRoot w:val="00000000"/>
    <w:rsid w:val="0C80401E"/>
    <w:rsid w:val="0CA718FA"/>
    <w:rsid w:val="0DFE6C76"/>
    <w:rsid w:val="15436065"/>
    <w:rsid w:val="1B915591"/>
    <w:rsid w:val="1D942D6B"/>
    <w:rsid w:val="36C33757"/>
    <w:rsid w:val="5B142CCD"/>
    <w:rsid w:val="70276102"/>
    <w:rsid w:val="7BEB0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1475</Words>
  <Characters>1485</Characters>
  <Lines>0</Lines>
  <Paragraphs>0</Paragraphs>
  <TotalTime>7</TotalTime>
  <ScaleCrop>false</ScaleCrop>
  <LinksUpToDate>false</LinksUpToDate>
  <CharactersWithSpaces>1502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2023-01-30T11:07:00Z</dcterms:created>
  <dc:creator>Administrator</dc:creator>
  <cp:lastModifiedBy>Administrator</cp:lastModifiedBy>
  <cp:lastPrinted>2023-02-04T01:15:30Z</cp:lastPrinted>
  <dcterms:modified xsi:type="dcterms:W3CDTF">2023-02-04T01:16:00Z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4600D46CBE5B4FBA8F04C9D45E75878B</vt:lpwstr>
  </property>
</Properties>
</file>