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楷体_GB2312" w:eastAsia="楷体_GB2312"/>
          <w:b/>
          <w:sz w:val="36"/>
          <w:szCs w:val="24"/>
        </w:rPr>
      </w:pPr>
      <w:r>
        <w:rPr>
          <w:rFonts w:hint="eastAsia" w:ascii="方正小标宋简体" w:eastAsia="方正小标宋简体"/>
          <w:b/>
          <w:bCs/>
          <w:sz w:val="44"/>
        </w:rPr>
        <w:t>2022-2023学年度上学期教学计划</w:t>
      </w:r>
    </w:p>
    <w:p>
      <w:pPr>
        <w:spacing w:line="600" w:lineRule="exact"/>
        <w:ind w:firstLine="643"/>
        <w:jc w:val="center"/>
        <w:rPr>
          <w:rFonts w:ascii="楷体_GB2312" w:hAnsi="黑体" w:eastAsia="楷体_GB2312"/>
          <w:b/>
          <w:sz w:val="36"/>
          <w:szCs w:val="36"/>
        </w:rPr>
      </w:pPr>
      <w:r>
        <w:rPr>
          <w:rFonts w:hint="eastAsia" w:ascii="楷体_GB2312" w:hAnsi="黑体" w:eastAsia="楷体_GB2312"/>
          <w:b/>
          <w:sz w:val="36"/>
          <w:szCs w:val="36"/>
        </w:rPr>
        <w:t>生物组</w:t>
      </w:r>
    </w:p>
    <w:p>
      <w:pPr>
        <w:spacing w:line="220" w:lineRule="atLeast"/>
        <w:ind w:firstLine="723" w:firstLineChars="200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根据市教体局制定的生物学科教学进度和联考范围，高二上学期计划完成新人教版选择性必修一《稳态与调节》、选择性必修二《生物与环境》</w:t>
      </w:r>
    </w:p>
    <w:tbl>
      <w:tblPr>
        <w:tblStyle w:val="4"/>
        <w:tblW w:w="8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3093"/>
        <w:gridCol w:w="954"/>
        <w:gridCol w:w="953"/>
        <w:gridCol w:w="1223"/>
        <w:gridCol w:w="1000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4" w:hRule="atLeast"/>
        </w:trPr>
        <w:tc>
          <w:tcPr>
            <w:tcW w:w="503" w:type="dxa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周次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教学内容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课型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课件制作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学案编制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审核人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教研主备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第一章  人体的内环境与稳态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细胞生活的环境（2课时）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内环境的稳态（2课时）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第二章  神经调节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神经调节的结构基础（2课时）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神经调节的基本方式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神经冲动的产生和传导（2课时）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第4节  神经系统的分级调节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第5节  人脑的高级功能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第三章  体液调节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激素与内分泌系统（2课时）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激素调节的过程（2课时）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体液调节与神经调节的关系（2课时）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第四章  免疫调节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免疫系统的组成和功能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特异性免疫（2课时）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免疫失调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第4节  免疫学的应用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备考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期中考试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第五章  植物生命活动的调节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植物生长素（2课时）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其他植物激素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植物生长调节剂的应用（2课时）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第4节  环境因素参与调节植物的生命活动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第一章  种群及其动态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种群的数量特征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种群数量的变化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影响种群数量变化的因素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第二章  群落及其演替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群落的结构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群落的主要类型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群落的演替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第三章  生态系统及其稳定性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生态系统的结构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生态系统的能量流动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生态系统的物质循环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第4节  生态系统的信息传递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第5节  生态系统的稳定性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第四章  人与环境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</w:t>
            </w:r>
          </w:p>
        </w:tc>
        <w:tc>
          <w:tcPr>
            <w:tcW w:w="1000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第1节  人类活动对生态环境的影响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第2节  生物多样性及其保护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restart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第3节  生态工程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一  生态工程的基本原理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邢伟伟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  <w:vMerge w:val="continue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二  生态工程的实例和发展前景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孔春梅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刘敏</w:t>
            </w:r>
          </w:p>
        </w:tc>
        <w:tc>
          <w:tcPr>
            <w:tcW w:w="1000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3" w:type="dxa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复习备考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张维忠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3" w:type="dxa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309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期末考试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侯洲彤</w:t>
            </w:r>
          </w:p>
        </w:tc>
      </w:tr>
    </w:tbl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教研内容：</w:t>
      </w:r>
    </w:p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1、教研主备人讲解下周教学内容，并对重点知识的处理方法给出合理建议供大家讨论。</w:t>
      </w:r>
    </w:p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2、大家共同讨论并制定教学目标、重难点、设计探究题目和检测试题</w:t>
      </w:r>
    </w:p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3、安排下周学案的编制、教研计划</w:t>
      </w:r>
    </w:p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学案编制：</w:t>
      </w:r>
    </w:p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1、学案主备人按照教学计划先周备课并编制导学案交给审核人；修改后保存并印刷。</w:t>
      </w:r>
    </w:p>
    <w:p>
      <w:pPr>
        <w:spacing w:line="600" w:lineRule="exact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2、审核人对导学案内容设计、习题等进行审核、修订。</w:t>
      </w:r>
    </w:p>
    <w:p>
      <w:pPr>
        <w:spacing w:line="220" w:lineRule="atLeast"/>
        <w:rPr>
          <w:rFonts w:ascii="仿宋_GB2312" w:eastAsia="仿宋_GB2312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985" w:right="1531" w:bottom="1985" w:left="153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86932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>—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D2D3D"/>
    <w:rsid w:val="001212B4"/>
    <w:rsid w:val="001E184A"/>
    <w:rsid w:val="00280B29"/>
    <w:rsid w:val="00323B43"/>
    <w:rsid w:val="003D37D8"/>
    <w:rsid w:val="00426133"/>
    <w:rsid w:val="00431192"/>
    <w:rsid w:val="004358AB"/>
    <w:rsid w:val="004569B2"/>
    <w:rsid w:val="005A3DD0"/>
    <w:rsid w:val="00686E2A"/>
    <w:rsid w:val="00702CE0"/>
    <w:rsid w:val="00795909"/>
    <w:rsid w:val="008B7726"/>
    <w:rsid w:val="008E21F3"/>
    <w:rsid w:val="00AC4AD0"/>
    <w:rsid w:val="00BE0FD3"/>
    <w:rsid w:val="00C35F3B"/>
    <w:rsid w:val="00D31D50"/>
    <w:rsid w:val="00E27694"/>
    <w:rsid w:val="00F62933"/>
    <w:rsid w:val="6A89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A8C343-6238-40CE-9E30-A995E242C0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255</Words>
  <Characters>1454</Characters>
  <Lines>12</Lines>
  <Paragraphs>3</Paragraphs>
  <TotalTime>14</TotalTime>
  <ScaleCrop>false</ScaleCrop>
  <LinksUpToDate>false</LinksUpToDate>
  <CharactersWithSpaces>1706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2023-02-02T14:24:06Z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